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odttf" ContentType="application/vnd.openxmlformats-officedocument.obfuscatedFont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Eyebrow"/>
      </w:pPr>
      <w:r>
        <w:t>COLLECT! DESIGN SYSTEM</w:t>
      </w:r>
    </w:p>
    <w:p>
      <w:pPr>
        <w:pStyle w:val="Title"/>
      </w:pPr>
      <w:r>
        <w:t>Document title</w:t>
      </w:r>
    </w:p>
    <w:p>
      <w:pPr>
        <w:pStyle w:val="Lead"/>
      </w:pPr>
      <w:r>
        <w:t>Subtitle or descriptive standfirst goes here</w:t>
      </w:r>
    </w:p>
    <w:p>
      <w:pPr>
        <w:pStyle w:val="CaptionText"/>
      </w:pPr>
      <w:r>
        <w:rPr>
          <w:rFonts w:ascii="Inter Medium" w:hAnsi="Inter Medium"/>
          <w:b w:val="0"/>
          <w:i w:val="0"/>
          <w:color w:val="8A8C8C"/>
          <w:sz w:val="17"/>
        </w:rPr>
        <w:t>PREPARED BY · Name / Team      DATE · Month YYYY      VERSION · 1.0</w:t>
      </w:r>
    </w:p>
    <w:p>
      <w:pPr>
        <w:pStyle w:val="Eyebrow"/>
      </w:pPr>
      <w:r>
        <w:t>01 — GETTING STARTED</w:t>
      </w:r>
    </w:p>
    <w:p>
      <w:pPr>
        <w:pStyle w:val="Heading1"/>
      </w:pPr>
      <w:r>
        <w:t>How to use this template</w:t>
      </w:r>
    </w:p>
    <w:p>
      <w:pPr>
        <w:pStyle w:val="Lead"/>
      </w:pPr>
      <w:r>
        <w:t>Everything that matters to receivables management, all in one solution. This document carries that same standard into your written deliverables — calm, dense, professional.</w:t>
      </w:r>
    </w:p>
    <w:p>
      <w:r>
        <w:t>Write your content, then apply the matching style from Word's Styles gallery. Headings use Outfit in Persian Blue; body copy uses Inter in Mid Grey. Reserve colour for meaning — Orange marks the single loudest call to action, Teal is for brand and links, Green means paid, Berry is informational.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fill="E9F6F9"/>
            <w:tcBorders>
              <w:top w:val="single" w:sz="4" w:color="E9F6F9" w:space="0"/>
              <w:left w:val="single" w:sz="24" w:color="2BA3BB" w:space="0"/>
              <w:bottom w:val="single" w:sz="4" w:color="E9F6F9" w:space="0"/>
              <w:right w:val="single" w:sz="4" w:color="E9F6F9" w:space="0"/>
            </w:tcBorders>
            <w:tcMar>
              <w:top w:w="160" w:type="dxa"/>
              <w:bottom w:w="160" w:type="dxa"/>
              <w:left w:w="240" w:type="dxa"/>
              <w:right w:w="240" w:type="dxa"/>
            </w:tcMar>
          </w:tcPr>
          <w:p>
            <w:pPr>
              <w:spacing w:before="0" w:after="40" w:line="276" w:lineRule="auto"/>
            </w:pPr>
            <w:r/>
            <w:r>
              <w:rPr>
                <w:rFonts w:ascii="Inter Medium" w:hAnsi="Inter Medium"/>
                <w:b/>
                <w:i w:val="0"/>
                <w:color w:val="1F7F92"/>
                <w:sz w:val="22"/>
              </w:rPr>
              <w:t>Fonts are embedded — nothing to install.</w:t>
            </w:r>
          </w:p>
          <w:p>
            <w:pPr>
              <w:spacing w:before="0" w:after="0" w:line="276" w:lineRule="auto"/>
            </w:pPr>
            <w:r>
              <w:rPr>
                <w:rFonts w:ascii="Inter" w:hAnsi="Inter"/>
                <w:b w:val="0"/>
                <w:i w:val="0"/>
                <w:color w:val="1F7F92"/>
                <w:sz w:val="21"/>
              </w:rPr>
              <w:t>Outfit (headings) and Inter (body) ship inside this file, so it renders on-brand on any machine even without the fonts installed. Keep the embedded fonts in place; don't substitute a system face.</w:t>
            </w:r>
          </w:p>
        </w:tc>
      </w:tr>
    </w:tbl>
    <w:p>
      <w:pPr>
        <w:spacing w:after="80"/>
      </w:pPr>
    </w:p>
    <w:p>
      <w:pPr>
        <w:pStyle w:val="Eyebrow"/>
      </w:pPr>
      <w:r>
        <w:t>03 — TYPOGRAPHY</w:t>
      </w:r>
    </w:p>
    <w:p>
      <w:pPr>
        <w:pStyle w:val="Heading1"/>
      </w:pPr>
      <w:r>
        <w:t>The type system</w:t>
      </w:r>
    </w:p>
    <w:p>
      <w:pPr>
        <w:pStyle w:val="Small"/>
      </w:pPr>
      <w:r>
        <w:t>Outfit for display &amp; headings, Inter for body. A modular 1.250 scale. Each specimen below is the live Word style — apply it by name.</w:t>
      </w:r>
    </w:p>
    <w:p>
      <w:pPr>
        <w:pStyle w:val="Heading1"/>
      </w:pPr>
      <w:r>
        <w:t>Heading 1 · display</w:t>
      </w:r>
    </w:p>
    <w:p>
      <w:pPr>
        <w:pStyle w:val="Heading2"/>
      </w:pPr>
      <w:r>
        <w:t>Heading 2 · section</w:t>
      </w:r>
    </w:p>
    <w:p>
      <w:pPr>
        <w:pStyle w:val="Heading3"/>
      </w:pPr>
      <w:r>
        <w:t>Heading 3 · subsection</w:t>
      </w:r>
    </w:p>
    <w:p>
      <w:pPr>
        <w:pStyle w:val="Heading4"/>
      </w:pPr>
      <w:r>
        <w:t>Heading 4 · detail</w:t>
      </w:r>
    </w:p>
    <w:p>
      <w:pPr>
        <w:pStyle w:val="Heading5"/>
      </w:pPr>
      <w:r>
        <w:t>Heading 5 · label</w:t>
      </w:r>
    </w:p>
    <w:p>
      <w:pPr>
        <w:pStyle w:val="Eyebrow"/>
      </w:pPr>
      <w:r>
        <w:t>HEADING 6 · EYEBROW</w:t>
      </w:r>
    </w:p>
    <w:p>
      <w:pPr>
        <w:pStyle w:val="Lead"/>
      </w:pPr>
      <w:r>
        <w:t>Lead — ultra-flexible collection software, packed with features and built to grow with your agency.</w:t>
      </w:r>
    </w:p>
    <w:p>
      <w:r>
        <w:t>Body — Collect! is installed in 40 countries by over 1,400 companies including collection agencies, debt buyers, credit unions and banks. Inter 400 at 11pt on a 1.4 line height; this is the default for running text.</w:t>
      </w:r>
    </w:p>
    <w:p>
      <w:pPr>
        <w:pStyle w:val="Small"/>
      </w:pPr>
      <w:r>
        <w:t>Small — auxiliary copy and metadata sits a step down.</w:t>
      </w:r>
    </w:p>
    <w:p>
      <w:pPr>
        <w:pStyle w:val="CaptionText"/>
      </w:pPr>
      <w:r>
        <w:t>CAPTION · LABELS · METADATA</w:t>
      </w:r>
    </w:p>
    <w:p>
      <w:pPr>
        <w:pStyle w:val="Eyebrow"/>
      </w:pPr>
      <w:r>
        <w:t>05 — LISTS</w:t>
      </w:r>
    </w:p>
    <w:p>
      <w:pPr>
        <w:pStyle w:val="Heading1"/>
      </w:pPr>
      <w:r>
        <w:t>Lists</w:t>
      </w:r>
    </w:p>
    <w:p>
      <w:pPr>
        <w:pStyle w:val="Heading5"/>
      </w:pPr>
      <w:r>
        <w:t>Unordered</w:t>
      </w:r>
    </w:p>
    <w:p>
      <w:pPr>
        <w:pStyle w:val="ListBullet"/>
      </w:pPr>
      <w:r>
        <w:t>Trustworthiness</w:t>
      </w:r>
    </w:p>
    <w:p>
      <w:pPr>
        <w:pStyle w:val="ListBullet"/>
      </w:pPr>
      <w:r>
        <w:t>Reliability</w:t>
      </w:r>
    </w:p>
    <w:p>
      <w:pPr>
        <w:pStyle w:val="ListBullet"/>
      </w:pPr>
      <w:r>
        <w:t>Flexibility</w:t>
      </w:r>
    </w:p>
    <w:p>
      <w:pPr>
        <w:pStyle w:val="ListBullet"/>
      </w:pPr>
      <w:r>
        <w:t>Value</w:t>
      </w:r>
    </w:p>
    <w:p>
      <w:pPr>
        <w:pStyle w:val="Heading5"/>
      </w:pPr>
      <w:r>
        <w:t>Ordered</w:t>
      </w:r>
    </w:p>
    <w:p>
      <w:pPr>
        <w:pStyle w:val="ListNumber"/>
      </w:pPr>
      <w:r>
        <w:t>Import accounts</w:t>
      </w:r>
    </w:p>
    <w:p>
      <w:pPr>
        <w:pStyle w:val="ListNumber"/>
      </w:pPr>
      <w:r>
        <w:t>Configure workflows</w:t>
      </w:r>
    </w:p>
    <w:p>
      <w:pPr>
        <w:pStyle w:val="ListNumber"/>
      </w:pPr>
      <w:r>
        <w:t>Launch contact strategy</w:t>
      </w:r>
    </w:p>
    <w:p>
      <w:pPr>
        <w:pStyle w:val="Heading5"/>
      </w:pPr>
      <w:r>
        <w:t>Checked</w:t>
      </w:r>
    </w:p>
    <w:p>
      <w:r>
        <w:rPr>
          <w:rFonts w:ascii="Inter" w:hAnsi="Inter"/>
          <w:b/>
          <w:i w:val="0"/>
          <w:color w:val="A1BF2F"/>
          <w:sz w:val="22"/>
        </w:rPr>
        <w:t xml:space="preserve">✓  </w:t>
      </w:r>
      <w:r>
        <w:rPr>
          <w:rFonts w:ascii="Inter" w:hAnsi="Inter"/>
          <w:b w:val="0"/>
          <w:i w:val="0"/>
          <w:color w:val="626464"/>
          <w:sz w:val="22"/>
        </w:rPr>
        <w:t>Integrated payment processing</w:t>
      </w:r>
    </w:p>
    <w:p>
      <w:r>
        <w:rPr>
          <w:rFonts w:ascii="Inter" w:hAnsi="Inter"/>
          <w:b/>
          <w:i w:val="0"/>
          <w:color w:val="A1BF2F"/>
          <w:sz w:val="22"/>
        </w:rPr>
        <w:t xml:space="preserve">✓  </w:t>
      </w:r>
      <w:r>
        <w:rPr>
          <w:rFonts w:ascii="Inter" w:hAnsi="Inter"/>
          <w:b w:val="0"/>
          <w:i w:val="0"/>
          <w:color w:val="626464"/>
          <w:sz w:val="22"/>
        </w:rPr>
        <w:t>Configurable contact rules</w:t>
      </w:r>
    </w:p>
    <w:p>
      <w:r>
        <w:rPr>
          <w:rFonts w:ascii="Inter" w:hAnsi="Inter"/>
          <w:b/>
          <w:i w:val="0"/>
          <w:color w:val="A1BF2F"/>
          <w:sz w:val="22"/>
        </w:rPr>
        <w:t xml:space="preserve">✓  </w:t>
      </w:r>
      <w:r>
        <w:rPr>
          <w:rFonts w:ascii="Inter" w:hAnsi="Inter"/>
          <w:b w:val="0"/>
          <w:i w:val="0"/>
          <w:color w:val="626464"/>
          <w:sz w:val="22"/>
        </w:rPr>
        <w:t>Compliance reporting</w:t>
      </w:r>
    </w:p>
    <w:p>
      <w:r>
        <w:rPr>
          <w:rFonts w:ascii="Inter" w:hAnsi="Inter"/>
          <w:b/>
          <w:i w:val="0"/>
          <w:color w:val="A1BF2F"/>
          <w:sz w:val="22"/>
        </w:rPr>
        <w:t xml:space="preserve">✓  </w:t>
      </w:r>
      <w:r>
        <w:rPr>
          <w:rFonts w:ascii="Inter" w:hAnsi="Inter"/>
          <w:b w:val="0"/>
          <w:i w:val="0"/>
          <w:color w:val="626464"/>
          <w:sz w:val="22"/>
        </w:rPr>
        <w:t>Multi-currency, multi-language</w:t>
      </w:r>
    </w:p>
    <w:p>
      <w:pPr>
        <w:pStyle w:val="Eyebrow"/>
      </w:pPr>
      <w:r>
        <w:t>06 — BLOCKQUOTE</w:t>
      </w:r>
    </w:p>
    <w:p>
      <w:pPr>
        <w:pStyle w:val="Heading1"/>
      </w:pPr>
      <w:r>
        <w:t>Quotations</w:t>
      </w:r>
    </w:p>
    <w:p>
      <w:pPr>
        <w:pStyle w:val="QuoteBlock"/>
        <w:pBdr>
          <w:left w:val="single" w:sz="24" w:space="10" w:color="2BA3BB"/>
        </w:pBdr>
      </w:pPr>
      <w:r>
        <w:t>Collect! cut our reconciliation time in half. The workflow engine alone paid for the migration in the first quarter.</w:t>
      </w:r>
    </w:p>
    <w:p>
      <w:pPr>
        <w:pStyle w:val="CaptionText"/>
      </w:pPr>
      <w:r>
        <w:t>Operations Director · Mid-market collection agency</w:t>
      </w:r>
    </w:p>
    <w:p>
      <w:pPr>
        <w:pStyle w:val="Eyebrow"/>
      </w:pPr>
      <w:r>
        <w:t>11 — ALERTS</w:t>
      </w:r>
    </w:p>
    <w:p>
      <w:pPr>
        <w:pStyle w:val="Heading1"/>
      </w:pPr>
      <w:r>
        <w:t>Inline messages</w:t>
      </w:r>
    </w:p>
    <w:p>
      <w:pPr>
        <w:pStyle w:val="Small"/>
      </w:pPr>
      <w:r>
        <w:t>Tinted callouts, never a saturated fill. The left bar carries the intent colour; the body stays readable.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fill="E9F6F9"/>
            <w:tcBorders>
              <w:top w:val="single" w:sz="4" w:color="E9F6F9" w:space="0"/>
              <w:left w:val="single" w:sz="24" w:color="2BA3BB" w:space="0"/>
              <w:bottom w:val="single" w:sz="4" w:color="E9F6F9" w:space="0"/>
              <w:right w:val="single" w:sz="4" w:color="E9F6F9" w:space="0"/>
            </w:tcBorders>
            <w:tcMar>
              <w:top w:w="160" w:type="dxa"/>
              <w:bottom w:w="160" w:type="dxa"/>
              <w:left w:w="240" w:type="dxa"/>
              <w:right w:w="240" w:type="dxa"/>
            </w:tcMar>
          </w:tcPr>
          <w:p>
            <w:pPr>
              <w:spacing w:before="0" w:after="40" w:line="276" w:lineRule="auto"/>
            </w:pPr>
            <w:r/>
            <w:r>
              <w:rPr>
                <w:rFonts w:ascii="Inter Medium" w:hAnsi="Inter Medium"/>
                <w:b/>
                <w:i w:val="0"/>
                <w:color w:val="1F7F92"/>
                <w:sz w:val="22"/>
              </w:rPr>
              <w:t>Heads up</w:t>
            </w:r>
          </w:p>
          <w:p>
            <w:pPr>
              <w:spacing w:before="0" w:after="0" w:line="276" w:lineRule="auto"/>
            </w:pPr>
            <w:r>
              <w:rPr>
                <w:rFonts w:ascii="Inter" w:hAnsi="Inter"/>
                <w:b w:val="0"/>
                <w:i w:val="0"/>
                <w:color w:val="1F7F92"/>
                <w:sz w:val="21"/>
              </w:rPr>
              <w:t>Scheduled maintenance on Sunday from 02:00–04:00 UTC.</w:t>
            </w:r>
          </w:p>
        </w:tc>
      </w:tr>
    </w:tbl>
    <w:p>
      <w:pPr>
        <w:spacing w:after="8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fill="F1F6DD"/>
            <w:tcBorders>
              <w:top w:val="single" w:sz="4" w:color="F1F6DD" w:space="0"/>
              <w:left w:val="single" w:sz="24" w:color="A1BF2F" w:space="0"/>
              <w:bottom w:val="single" w:sz="4" w:color="F1F6DD" w:space="0"/>
              <w:right w:val="single" w:sz="4" w:color="F1F6DD" w:space="0"/>
            </w:tcBorders>
            <w:tcMar>
              <w:top w:w="160" w:type="dxa"/>
              <w:bottom w:w="160" w:type="dxa"/>
              <w:left w:w="240" w:type="dxa"/>
              <w:right w:w="240" w:type="dxa"/>
            </w:tcMar>
          </w:tcPr>
          <w:p>
            <w:pPr>
              <w:spacing w:before="0" w:after="40" w:line="276" w:lineRule="auto"/>
            </w:pPr>
            <w:r/>
            <w:r>
              <w:rPr>
                <w:rFonts w:ascii="Inter Medium" w:hAnsi="Inter Medium"/>
                <w:b/>
                <w:i w:val="0"/>
                <w:color w:val="5E7314"/>
                <w:sz w:val="22"/>
              </w:rPr>
              <w:t>Payment received</w:t>
            </w:r>
          </w:p>
          <w:p>
            <w:pPr>
              <w:spacing w:before="0" w:after="0" w:line="276" w:lineRule="auto"/>
            </w:pPr>
            <w:r>
              <w:rPr>
                <w:rFonts w:ascii="Inter" w:hAnsi="Inter"/>
                <w:b w:val="0"/>
                <w:i w:val="0"/>
                <w:color w:val="626464"/>
                <w:sz w:val="21"/>
              </w:rPr>
              <w:t>Account #44219 marked as paid in full.</w:t>
            </w:r>
          </w:p>
        </w:tc>
      </w:tr>
    </w:tbl>
    <w:p>
      <w:pPr>
        <w:spacing w:after="8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fill="FDEEDB"/>
            <w:tcBorders>
              <w:top w:val="single" w:sz="4" w:color="FDEEDB" w:space="0"/>
              <w:left w:val="single" w:sz="24" w:color="F89939" w:space="0"/>
              <w:bottom w:val="single" w:sz="4" w:color="FDEEDB" w:space="0"/>
              <w:right w:val="single" w:sz="4" w:color="FDEEDB" w:space="0"/>
            </w:tcBorders>
            <w:tcMar>
              <w:top w:w="160" w:type="dxa"/>
              <w:bottom w:w="160" w:type="dxa"/>
              <w:left w:w="240" w:type="dxa"/>
              <w:right w:w="240" w:type="dxa"/>
            </w:tcMar>
          </w:tcPr>
          <w:p>
            <w:pPr>
              <w:spacing w:before="0" w:after="40" w:line="276" w:lineRule="auto"/>
            </w:pPr>
            <w:r/>
            <w:r>
              <w:rPr>
                <w:rFonts w:ascii="Inter Medium" w:hAnsi="Inter Medium"/>
                <w:b/>
                <w:i w:val="0"/>
                <w:color w:val="9A5B12"/>
                <w:sz w:val="22"/>
              </w:rPr>
              <w:t>Approaching limit</w:t>
            </w:r>
          </w:p>
          <w:p>
            <w:pPr>
              <w:spacing w:before="0" w:after="0" w:line="276" w:lineRule="auto"/>
            </w:pPr>
            <w:r>
              <w:rPr>
                <w:rFonts w:ascii="Inter" w:hAnsi="Inter"/>
                <w:b w:val="0"/>
                <w:i w:val="0"/>
                <w:color w:val="626464"/>
                <w:sz w:val="21"/>
              </w:rPr>
              <w:t>You've used 86% of your contact attempts for this account this month.</w:t>
            </w:r>
          </w:p>
        </w:tc>
      </w:tr>
    </w:tbl>
    <w:p>
      <w:pPr>
        <w:spacing w:after="8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fill="FBEAE8"/>
            <w:tcBorders>
              <w:top w:val="single" w:sz="4" w:color="FBEAE8" w:space="0"/>
              <w:left w:val="single" w:sz="24" w:color="C0392B" w:space="0"/>
              <w:bottom w:val="single" w:sz="4" w:color="FBEAE8" w:space="0"/>
              <w:right w:val="single" w:sz="4" w:color="FBEAE8" w:space="0"/>
            </w:tcBorders>
            <w:tcMar>
              <w:top w:w="160" w:type="dxa"/>
              <w:bottom w:w="160" w:type="dxa"/>
              <w:left w:w="240" w:type="dxa"/>
              <w:right w:w="240" w:type="dxa"/>
            </w:tcMar>
          </w:tcPr>
          <w:p>
            <w:pPr>
              <w:spacing w:before="0" w:after="40" w:line="276" w:lineRule="auto"/>
            </w:pPr>
            <w:r/>
            <w:r>
              <w:rPr>
                <w:rFonts w:ascii="Inter Medium" w:hAnsi="Inter Medium"/>
                <w:b/>
                <w:i w:val="0"/>
                <w:color w:val="C0392B"/>
                <w:sz w:val="22"/>
              </w:rPr>
              <w:t>Sync failed</w:t>
            </w:r>
          </w:p>
          <w:p>
            <w:pPr>
              <w:spacing w:before="0" w:after="0" w:line="276" w:lineRule="auto"/>
            </w:pPr>
            <w:r>
              <w:rPr>
                <w:rFonts w:ascii="Inter" w:hAnsi="Inter"/>
                <w:b w:val="0"/>
                <w:i w:val="0"/>
                <w:color w:val="626464"/>
                <w:sz w:val="21"/>
              </w:rPr>
              <w:t>The credit bureau returned an authentication error. Re-enter your API key.</w:t>
            </w:r>
          </w:p>
        </w:tc>
      </w:tr>
    </w:tbl>
    <w:p>
      <w:pPr>
        <w:spacing w:after="80"/>
      </w:pPr>
    </w:p>
    <w:p>
      <w:pPr>
        <w:pStyle w:val="Eyebrow"/>
      </w:pPr>
      <w:r>
        <w:t>02 — COLOURS</w:t>
      </w:r>
    </w:p>
    <w:p>
      <w:pPr>
        <w:pStyle w:val="Heading1"/>
      </w:pPr>
      <w:r>
        <w:t>Brand palette</w:t>
      </w:r>
    </w:p>
    <w:p>
      <w:pPr>
        <w:pStyle w:val="Small"/>
      </w:pPr>
      <w:r>
        <w:t>Six brand colours. Teal is primary; Persian Blue carries headings; Mid Grey is body; Urgent Orange signals action. Reserve colour for meaning, not mood.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19"/>
              </w:rPr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19"/>
              </w:rPr>
              <w:t>Colour</w:t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19"/>
              </w:rPr>
              <w:t>Hex</w:t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19"/>
              </w:rPr>
              <w:t>Token</w:t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19"/>
              </w:rPr>
              <w:t>Role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  <w:shd w:val="clear" w:fill="2BA3BB"/>
          </w:tcPr>
          <w:p>
            <w:pPr>
              <w:spacing w:after="0"/>
            </w:pP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 Medium" w:hAnsi="Inter Medium"/>
                <w:b w:val="0"/>
                <w:i w:val="0"/>
                <w:color w:val="1A3373"/>
                <w:sz w:val="20"/>
              </w:rPr>
              <w:t>Teal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626464"/>
                <w:sz w:val="19"/>
              </w:rPr>
              <w:t>#2BA3BB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1F7F92"/>
                <w:sz w:val="19"/>
              </w:rPr>
              <w:t>--color-primary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Brand, links, focus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  <w:shd w:val="clear" w:fill="1A3373"/>
          </w:tcPr>
          <w:p>
            <w:pPr>
              <w:spacing w:after="0"/>
            </w:pP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 Medium" w:hAnsi="Inter Medium"/>
                <w:b w:val="0"/>
                <w:i w:val="0"/>
                <w:color w:val="1A3373"/>
                <w:sz w:val="20"/>
              </w:rPr>
              <w:t>Persian Blue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626464"/>
                <w:sz w:val="19"/>
              </w:rPr>
              <w:t>#1A3373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1F7F92"/>
                <w:sz w:val="19"/>
              </w:rPr>
              <w:t>--color-secondary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Headings, stability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  <w:shd w:val="clear" w:fill="F89939"/>
          </w:tcPr>
          <w:p>
            <w:pPr>
              <w:spacing w:after="0"/>
            </w:pP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 Medium" w:hAnsi="Inter Medium"/>
                <w:b w:val="0"/>
                <w:i w:val="0"/>
                <w:color w:val="1A3373"/>
                <w:sz w:val="20"/>
              </w:rPr>
              <w:t>Urgent Orange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626464"/>
                <w:sz w:val="19"/>
              </w:rPr>
              <w:t>#F89939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1F7F92"/>
                <w:sz w:val="19"/>
              </w:rPr>
              <w:t>--color-accent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Loudest single CTA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  <w:shd w:val="clear" w:fill="626464"/>
          </w:tcPr>
          <w:p>
            <w:pPr>
              <w:spacing w:after="0"/>
            </w:pP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 Medium" w:hAnsi="Inter Medium"/>
                <w:b w:val="0"/>
                <w:i w:val="0"/>
                <w:color w:val="1A3373"/>
                <w:sz w:val="20"/>
              </w:rPr>
              <w:t>Mid Grey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626464"/>
                <w:sz w:val="19"/>
              </w:rPr>
              <w:t>#626464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1F7F92"/>
                <w:sz w:val="19"/>
              </w:rPr>
              <w:t>--color-neutral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Body copy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  <w:shd w:val="clear" w:fill="A1BF2F"/>
          </w:tcPr>
          <w:p>
            <w:pPr>
              <w:spacing w:after="0"/>
            </w:pP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 Medium" w:hAnsi="Inter Medium"/>
                <w:b w:val="0"/>
                <w:i w:val="0"/>
                <w:color w:val="1A3373"/>
                <w:sz w:val="20"/>
              </w:rPr>
              <w:t>Money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626464"/>
                <w:sz w:val="19"/>
              </w:rPr>
              <w:t>#A1BF2F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1F7F92"/>
                <w:sz w:val="19"/>
              </w:rPr>
              <w:t>--color-success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Success · paid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  <w:shd w:val="clear" w:fill="A94382"/>
          </w:tcPr>
          <w:p>
            <w:pPr>
              <w:spacing w:after="0"/>
            </w:pP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 Medium" w:hAnsi="Inter Medium"/>
                <w:b w:val="0"/>
                <w:i w:val="0"/>
                <w:color w:val="1A3373"/>
                <w:sz w:val="20"/>
              </w:rPr>
              <w:t>Berry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626464"/>
                <w:sz w:val="19"/>
              </w:rPr>
              <w:t>#A94382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Consolas" w:hAnsi="Consolas"/>
                <w:b w:val="0"/>
                <w:i w:val="0"/>
                <w:color w:val="1F7F92"/>
                <w:sz w:val="19"/>
              </w:rPr>
              <w:t>--color-info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Informational</w:t>
            </w:r>
          </w:p>
        </w:tc>
      </w:tr>
    </w:tbl>
    <w:p>
      <w:pPr>
        <w:pStyle w:val="Eyebrow"/>
      </w:pPr>
      <w:r>
        <w:t>09 — BADGES &amp; TAGS</w:t>
      </w:r>
    </w:p>
    <w:p>
      <w:pPr>
        <w:pStyle w:val="Heading1"/>
      </w:pPr>
      <w:r>
        <w:t>Status &amp; tags</w:t>
      </w:r>
    </w:p>
    <w:p>
      <w:pPr>
        <w:pStyle w:val="Small"/>
      </w:pPr>
      <w:r>
        <w:t>Tints carry status. Saturated fills are reserved for active surfaces with white type.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val="clear" w:fill="E9F6F9"/>
            <w:tcBorders>
              <w:top w:val="single" w:sz="8" w:color="FFFFFF" w:space="0"/>
              <w:left w:val="single" w:sz="8" w:color="FFFFFF" w:space="0"/>
              <w:bottom w:val="single" w:sz="8" w:color="FFFFFF" w:space="0"/>
              <w:right w:val="single" w:sz="8" w:color="FFFFFF" w:space="0"/>
            </w:tcBorders>
          </w:tcPr>
          <w:p>
            <w:pPr>
              <w:spacing w:after="0"/>
              <w:jc w:val="center"/>
            </w:pPr>
            <w:r>
              <w:rPr>
                <w:rFonts w:ascii="Inter Medium" w:hAnsi="Inter Medium"/>
                <w:b/>
                <w:i w:val="0"/>
                <w:color w:val="1F7F92"/>
                <w:sz w:val="17"/>
              </w:rPr>
              <w:t>ACTIVE</w:t>
            </w:r>
          </w:p>
        </w:tc>
        <w:tc>
          <w:tcPr>
            <w:tcW w:type="dxa" w:w="1872"/>
            <w:shd w:val="clear" w:fill="F1F6DD"/>
            <w:tcBorders>
              <w:top w:val="single" w:sz="8" w:color="FFFFFF" w:space="0"/>
              <w:left w:val="single" w:sz="8" w:color="FFFFFF" w:space="0"/>
              <w:bottom w:val="single" w:sz="8" w:color="FFFFFF" w:space="0"/>
              <w:right w:val="single" w:sz="8" w:color="FFFFFF" w:space="0"/>
            </w:tcBorders>
          </w:tcPr>
          <w:p>
            <w:pPr>
              <w:spacing w:after="0"/>
              <w:jc w:val="center"/>
            </w:pPr>
            <w:r>
              <w:rPr>
                <w:rFonts w:ascii="Inter Medium" w:hAnsi="Inter Medium"/>
                <w:b/>
                <w:i w:val="0"/>
                <w:color w:val="5E7314"/>
                <w:sz w:val="17"/>
              </w:rPr>
              <w:t>PAID IN FULL</w:t>
            </w:r>
          </w:p>
        </w:tc>
        <w:tc>
          <w:tcPr>
            <w:tcW w:type="dxa" w:w="1872"/>
            <w:shd w:val="clear" w:fill="F2E1EC"/>
            <w:tcBorders>
              <w:top w:val="single" w:sz="8" w:color="FFFFFF" w:space="0"/>
              <w:left w:val="single" w:sz="8" w:color="FFFFFF" w:space="0"/>
              <w:bottom w:val="single" w:sz="8" w:color="FFFFFF" w:space="0"/>
              <w:right w:val="single" w:sz="8" w:color="FFFFFF" w:space="0"/>
            </w:tcBorders>
          </w:tcPr>
          <w:p>
            <w:pPr>
              <w:spacing w:after="0"/>
              <w:jc w:val="center"/>
            </w:pPr>
            <w:r>
              <w:rPr>
                <w:rFonts w:ascii="Inter Medium" w:hAnsi="Inter Medium"/>
                <w:b/>
                <w:i w:val="0"/>
                <w:color w:val="A94382"/>
                <w:sz w:val="17"/>
              </w:rPr>
              <w:t>NEW FEATURE</w:t>
            </w:r>
          </w:p>
        </w:tc>
        <w:tc>
          <w:tcPr>
            <w:tcW w:type="dxa" w:w="1872"/>
            <w:shd w:val="clear" w:fill="FDEEDB"/>
            <w:tcBorders>
              <w:top w:val="single" w:sz="8" w:color="FFFFFF" w:space="0"/>
              <w:left w:val="single" w:sz="8" w:color="FFFFFF" w:space="0"/>
              <w:bottom w:val="single" w:sz="8" w:color="FFFFFF" w:space="0"/>
              <w:right w:val="single" w:sz="8" w:color="FFFFFF" w:space="0"/>
            </w:tcBorders>
          </w:tcPr>
          <w:p>
            <w:pPr>
              <w:spacing w:after="0"/>
              <w:jc w:val="center"/>
            </w:pPr>
            <w:r>
              <w:rPr>
                <w:rFonts w:ascii="Inter Medium" w:hAnsi="Inter Medium"/>
                <w:b/>
                <w:i w:val="0"/>
                <w:color w:val="9A5B12"/>
                <w:sz w:val="17"/>
              </w:rPr>
              <w:t>APPROACHING LIMIT</w:t>
            </w:r>
          </w:p>
        </w:tc>
        <w:tc>
          <w:tcPr>
            <w:tcW w:type="dxa" w:w="1872"/>
            <w:shd w:val="clear" w:fill="F7F8FA"/>
            <w:tcBorders>
              <w:top w:val="single" w:sz="8" w:color="FFFFFF" w:space="0"/>
              <w:left w:val="single" w:sz="8" w:color="FFFFFF" w:space="0"/>
              <w:bottom w:val="single" w:sz="8" w:color="FFFFFF" w:space="0"/>
              <w:right w:val="single" w:sz="8" w:color="FFFFFF" w:space="0"/>
            </w:tcBorders>
          </w:tcPr>
          <w:p>
            <w:pPr>
              <w:spacing w:after="0"/>
              <w:jc w:val="center"/>
            </w:pPr>
            <w:r>
              <w:rPr>
                <w:rFonts w:ascii="Inter Medium" w:hAnsi="Inter Medium"/>
                <w:b/>
                <w:i w:val="0"/>
                <w:color w:val="8A8C8C"/>
                <w:sz w:val="17"/>
              </w:rPr>
              <w:t>ARCHIVED</w:t>
            </w:r>
          </w:p>
        </w:tc>
      </w:tr>
    </w:tbl>
    <w:p>
      <w:pPr>
        <w:spacing w:after="80"/>
      </w:pPr>
    </w:p>
    <w:p>
      <w:pPr>
        <w:pStyle w:val="Eyebrow"/>
      </w:pPr>
      <w:r>
        <w:t>13 — TABLES</w:t>
      </w:r>
    </w:p>
    <w:p>
      <w:pPr>
        <w:pStyle w:val="Heading1"/>
      </w:pPr>
      <w:r>
        <w:t>Data table</w:t>
      </w:r>
    </w:p>
    <w:p>
      <w:pPr>
        <w:pStyle w:val="Small"/>
      </w:pPr>
      <w:r>
        <w:t>Header row on the alt-grey surface; body rows on white; hairline borders in the border token.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20"/>
              </w:rPr>
              <w:t>Account</w:t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20"/>
              </w:rPr>
              <w:t>Debtor</w:t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20"/>
              </w:rPr>
              <w:t>Balance</w:t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20"/>
              </w:rPr>
              <w:t>Stage</w:t>
            </w:r>
          </w:p>
        </w:tc>
        <w:tc>
          <w:tcPr>
            <w:tcW w:type="dxa" w:w="1872"/>
            <w:shd w:val="clear" w:fill="F7F8FA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Outfit SemiBold" w:hAnsi="Outfit SemiBold"/>
                <w:b w:val="0"/>
                <w:i w:val="0"/>
                <w:color w:val="1A3373"/>
                <w:sz w:val="20"/>
              </w:rPr>
              <w:t>Status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44219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J. Carter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$2,841.00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Pre-collect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Active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44220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R. Singh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$1,210.55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Notice 2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Promised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44221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M. Park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$0.00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Closed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Paid</w:t>
            </w:r>
          </w:p>
        </w:tc>
      </w:tr>
      <w:tr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44222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L. Tremblay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$8,750.00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Legal</w:t>
            </w:r>
          </w:p>
        </w:tc>
        <w:tc>
          <w:tcPr>
            <w:tcW w:type="dxa" w:w="1872"/>
            <w:tcBorders>
              <w:top w:val="single" w:sz="4" w:color="E4E7EC" w:space="0"/>
              <w:left w:val="single" w:sz="4" w:color="E4E7EC" w:space="0"/>
              <w:bottom w:val="single" w:sz="4" w:color="E4E7EC" w:space="0"/>
              <w:right w:val="single" w:sz="4" w:color="E4E7EC" w:space="0"/>
            </w:tcBorders>
          </w:tcPr>
          <w:p>
            <w:pPr>
              <w:spacing w:after="0"/>
            </w:pPr>
            <w:r>
              <w:rPr>
                <w:rFonts w:ascii="Inter" w:hAnsi="Inter"/>
                <w:b w:val="0"/>
                <w:i w:val="0"/>
                <w:color w:val="626464"/>
                <w:sz w:val="20"/>
              </w:rPr>
              <w:t>Escalated</w:t>
            </w:r>
          </w:p>
        </w:tc>
      </w:tr>
    </w:tbl>
    <w:p/>
    <w:p>
      <w:pPr>
        <w:pStyle w:val="CaptionText"/>
      </w:pPr>
      <w:r>
        <w:t>Collect! Design System · v1.1.0 · Outfit + Inter · © Comtech Systems Inc.</w:t>
      </w:r>
    </w:p>
    <w:sectPr w:rsidR="00FC693F" w:rsidRPr="0006063C" w:rsidSect="00034616">
      <w:head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Outfit">
    <w:embedRegular r:id="rId1" w:fontKey="{B120B5AD-127B-4879-AB93-29A020D8856F}" w:subsetted="false"/>
    <w:embedBold r:id="rId2" w:fontKey="{19F25FD0-3A14-4C66-A826-CC28101E7678}" w:subsetted="false"/>
  </w:font>
  <w:font w:name="Outfit SemiBold">
    <w:embedRegular r:id="rId3" w:fontKey="{30420E43-1BC5-4592-9A22-4689156DE05D}" w:subsetted="false"/>
  </w:font>
  <w:font w:name="Outfit Medium">
    <w:embedRegular r:id="rId4" w:fontKey="{D76A7F65-1983-457E-BC3A-27FD381E8855}" w:subsetted="false"/>
  </w:font>
  <w:font w:name="Inter">
    <w:embedRegular r:id="rId5" w:fontKey="{A880F775-9CD6-4577-B0E1-819B595D9E9F}" w:subsetted="false"/>
    <w:embedBold r:id="rId6" w:fontKey="{FE01BFA5-7296-4220-A498-586DDE57DD4A}" w:subsetted="false"/>
    <w:embedItalic r:id="rId7" w:fontKey="{E169C0B3-0844-4FF9-BDFE-74D5366DF98A}" w:subsetted="false"/>
  </w:font>
  <w:font w:name="Inter Medium">
    <w:embedRegular r:id="rId8" w:fontKey="{04188323-6515-492B-B3AD-2E83F1D583B7}" w:subsetted="false"/>
  </w:font>
  <w:font w:name="Inter SemiBold">
    <w:embedRegular r:id="rId9" w:fontKey="{0CE55504-400F-481E-A3F0-A47AAECC3E84}" w:subsetted="false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drawing>
        <wp:inline xmlns:a="http://schemas.openxmlformats.org/drawingml/2006/main" xmlns:pic="http://schemas.openxmlformats.org/drawingml/2006/picture">
          <wp:extent cx="1371600" cy="58144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llect!_full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8144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embedTrueTypeFonts/>
  <w:embedSystemFonts/>
  <w:saveSubsetFonts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 w:after="160"/>
    </w:pPr>
    <w:rPr>
      <w:rFonts w:ascii="Inter" w:hAnsi="Inter" w:cs="Inter"/>
      <w:b w:val="0"/>
      <w:i w:val="0"/>
      <w:color w:val="62646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 w:ascii="Outfit" w:hAnsi="Outfit" w:cs="Outfit"/>
      <w:b/>
      <w:bCs/>
      <w:i w:val="0"/>
      <w:color w:val="1A3373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20" w:after="80"/>
      <w:outlineLvl w:val="1"/>
    </w:pPr>
    <w:rPr>
      <w:rFonts w:asciiTheme="majorHAnsi" w:eastAsiaTheme="majorEastAsia" w:hAnsiTheme="majorHAnsi" w:cstheme="majorBidi" w:ascii="Outfit SemiBold" w:hAnsi="Outfit SemiBold" w:cs="Outfit SemiBold"/>
      <w:b w:val="0"/>
      <w:bCs/>
      <w:i w:val="0"/>
      <w:color w:val="1A3373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 w:ascii="Outfit SemiBold" w:hAnsi="Outfit SemiBold" w:cs="Outfit SemiBold"/>
      <w:b w:val="0"/>
      <w:bCs/>
      <w:i w:val="0"/>
      <w:color w:val="1A3373"/>
      <w:sz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 w:ascii="Outfit SemiBold" w:hAnsi="Outfit SemiBold" w:cs="Outfit SemiBold"/>
      <w:b w:val="0"/>
      <w:bCs/>
      <w:i w:val="0"/>
      <w:iCs/>
      <w:color w:val="1A3373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40"/>
      <w:outlineLvl w:val="4"/>
    </w:pPr>
    <w:rPr>
      <w:rFonts w:asciiTheme="majorHAnsi" w:eastAsiaTheme="majorEastAsia" w:hAnsiTheme="majorHAnsi" w:cstheme="majorBidi" w:ascii="Outfit SemiBold" w:hAnsi="Outfit SemiBold" w:cs="Outfit SemiBold"/>
      <w:b w:val="0"/>
      <w:i w:val="0"/>
      <w:color w:val="1A3373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Outfit" w:hAnsi="Outfit" w:cs="Outfit"/>
      <w:b/>
      <w:i w:val="0"/>
      <w:color w:val="1A3373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yebrow">
    <w:name w:val="Eyebrow"/>
    <w:basedOn w:val="Normal"/>
    <w:pPr>
      <w:spacing w:before="280" w:after="40"/>
    </w:pPr>
    <w:rPr>
      <w:rFonts w:ascii="Outfit SemiBold" w:hAnsi="Outfit SemiBold" w:cs="Outfit SemiBold"/>
      <w:b w:val="0"/>
      <w:i w:val="0"/>
      <w:color w:val="2BA3BB"/>
      <w:sz w:val="19"/>
      <w:caps/>
      <w:spacing w:val="30"/>
    </w:rPr>
  </w:style>
  <w:style w:type="paragraph" w:customStyle="1" w:styleId="Lead">
    <w:name w:val="Lead"/>
    <w:basedOn w:val="Normal"/>
    <w:pPr>
      <w:spacing w:line="348" w:lineRule="auto" w:after="200"/>
    </w:pPr>
    <w:rPr>
      <w:rFonts w:ascii="Inter" w:hAnsi="Inter" w:cs="Inter"/>
      <w:b w:val="0"/>
      <w:i w:val="0"/>
      <w:color w:val="1A3373"/>
      <w:sz w:val="28"/>
    </w:rPr>
  </w:style>
  <w:style w:type="paragraph" w:customStyle="1" w:styleId="Small">
    <w:name w:val="Small"/>
    <w:basedOn w:val="Normal"/>
    <w:rPr>
      <w:rFonts w:ascii="Inter" w:hAnsi="Inter" w:cs="Inter"/>
      <w:b w:val="0"/>
      <w:i w:val="0"/>
      <w:color w:val="8A8C8C"/>
      <w:sz w:val="19"/>
    </w:rPr>
  </w:style>
  <w:style w:type="paragraph" w:customStyle="1" w:styleId="CaptionText">
    <w:name w:val="Caption Text"/>
    <w:basedOn w:val="Normal"/>
    <w:rPr>
      <w:rFonts w:ascii="Inter Medium" w:hAnsi="Inter Medium" w:cs="Inter Medium"/>
      <w:b w:val="0"/>
      <w:i w:val="0"/>
      <w:color w:val="8A8C8C"/>
      <w:sz w:val="17"/>
      <w:caps/>
      <w:spacing w:val="20"/>
    </w:rPr>
  </w:style>
  <w:style w:type="paragraph" w:customStyle="1" w:styleId="QuoteBlock">
    <w:name w:val="Quote Block"/>
    <w:basedOn w:val="Normal"/>
    <w:pPr>
      <w:spacing w:before="120" w:after="80"/>
      <w:ind w:left="432"/>
    </w:pPr>
    <w:rPr>
      <w:rFonts w:ascii="Inter" w:hAnsi="Inter" w:cs="Inter"/>
      <w:b w:val="0"/>
      <w:i/>
      <w:color w:val="1A3373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fontTable.xml.rels><?xml version="1.0" encoding="UTF-8" standalone="yes"?>
<Relationships xmlns="http://schemas.openxmlformats.org/package/2006/relationships">
<Relationship Id="rId1" Type="http://schemas.openxmlformats.org/officeDocument/2006/relationships/font" Target="fonts/font1.odttf"/>
<Relationship Id="rId2" Type="http://schemas.openxmlformats.org/officeDocument/2006/relationships/font" Target="fonts/font2.odttf"/>
<Relationship Id="rId3" Type="http://schemas.openxmlformats.org/officeDocument/2006/relationships/font" Target="fonts/font3.odttf"/>
<Relationship Id="rId4" Type="http://schemas.openxmlformats.org/officeDocument/2006/relationships/font" Target="fonts/font4.odttf"/>
<Relationship Id="rId5" Type="http://schemas.openxmlformats.org/officeDocument/2006/relationships/font" Target="fonts/font5.odttf"/>
<Relationship Id="rId6" Type="http://schemas.openxmlformats.org/officeDocument/2006/relationships/font" Target="fonts/font6.odttf"/>
<Relationship Id="rId7" Type="http://schemas.openxmlformats.org/officeDocument/2006/relationships/font" Target="fonts/font7.odttf"/>
<Relationship Id="rId8" Type="http://schemas.openxmlformats.org/officeDocument/2006/relationships/font" Target="fonts/font8.odttf"/>
<Relationship Id="rId9" Type="http://schemas.openxmlformats.org/officeDocument/2006/relationships/font" Target="fonts/font9.odttf"/>
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1A3373"/>
      </a:dk1>
      <a:lt1>
        <a:srgbClr val="FFFFFF"/>
      </a:lt1>
      <a:dk2>
        <a:srgbClr val="626464"/>
      </a:dk2>
      <a:lt2>
        <a:srgbClr val="F7F8FA"/>
      </a:lt2>
      <a:accent1>
        <a:srgbClr val="2BA3BB"/>
      </a:accent1>
      <a:accent2>
        <a:srgbClr val="1A3373"/>
      </a:accent2>
      <a:accent3>
        <a:srgbClr val="F89939"/>
      </a:accent3>
      <a:accent4>
        <a:srgbClr val="A1BF2F"/>
      </a:accent4>
      <a:accent5>
        <a:srgbClr val="A94382"/>
      </a:accent5>
      <a:accent6>
        <a:srgbClr val="626464"/>
      </a:accent6>
      <a:hlink>
        <a:srgbClr val="2BA3BB"/>
      </a:hlink>
      <a:folHlink>
        <a:srgbClr val="1F7F92"/>
      </a:folHlink>
    </a:clrScheme>
    <a:fontScheme name="Office">
      <a:majorFont>
        <a:latin typeface="Outfit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